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F7045" w:rsidRPr="008D2F01" w:rsidRDefault="000F7045" w:rsidP="000F7045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D2F01">
        <w:rPr>
          <w:b/>
          <w:bCs/>
          <w:sz w:val="28"/>
          <w:szCs w:val="28"/>
        </w:rPr>
        <w:t>С 1 сентября 2024 г. участники оборота велосипедов и велосипедных рам обязаны наносить средства идентификации на товары и представлять в информационную систему мониторинга сведения о маркировке и вводе товаров в оборот</w:t>
      </w:r>
    </w:p>
    <w:p w:rsidR="004F6B4F" w:rsidRPr="008D2F01" w:rsidRDefault="004F6B4F" w:rsidP="004F6B4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F01" w:rsidRPr="008D2F01" w:rsidRDefault="008D2F01" w:rsidP="008D2F0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D2F01">
        <w:rPr>
          <w:sz w:val="28"/>
          <w:szCs w:val="28"/>
        </w:rPr>
        <w:t xml:space="preserve">Утвержденные правила маркировки коснутся оборота велосипедов и велосипедных рам, относящихся к кодам ТН ВЭД ЕАЭС 8711, 8712 00, 8714 91 100 и 9503 00 100 9, кодам ОКПД 2 30.91.11.120, 30.91.20 (только для рам велосипедных), 30.92.10, 30.92.30.110 (только для рам велосипедных), 32.40.31.121.Правилами в числе прочего определены сроки: регистрации участников оборота товаров в информационной системе мониторинга; обеспечения готовности собственных программно-аппаратных средств к информационному взаимодействию с информационной системой мониторинга; нанесения средств идентификации на товары и представления в информационную систему мониторинга сведений об обороте товаров и выводе их из оборота. </w:t>
      </w:r>
    </w:p>
    <w:p w:rsidR="001F6BB3" w:rsidRPr="008D2F01" w:rsidRDefault="001F6BB3" w:rsidP="001F6BB3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147223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3C4DAD"/>
    <w:rsid w:val="003F7703"/>
    <w:rsid w:val="00434403"/>
    <w:rsid w:val="004F6B4F"/>
    <w:rsid w:val="005A5738"/>
    <w:rsid w:val="00697F9B"/>
    <w:rsid w:val="0076200A"/>
    <w:rsid w:val="008D2F01"/>
    <w:rsid w:val="00C07259"/>
    <w:rsid w:val="00C819F0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3</cp:revision>
  <dcterms:created xsi:type="dcterms:W3CDTF">2024-05-30T11:38:00Z</dcterms:created>
  <dcterms:modified xsi:type="dcterms:W3CDTF">2024-05-30T11:39:00Z</dcterms:modified>
</cp:coreProperties>
</file>