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54" w:rsidRDefault="003D3954" w:rsidP="003D395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3D3954" w:rsidRDefault="003D3954" w:rsidP="003D395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D3954" w:rsidRDefault="003D3954" w:rsidP="003D395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городской прокурор</w:t>
      </w:r>
    </w:p>
    <w:p w:rsidR="003D3954" w:rsidRDefault="003D3954" w:rsidP="003D395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3D3954" w:rsidRDefault="003D3954" w:rsidP="003D395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D3954" w:rsidRDefault="003D3954" w:rsidP="003D395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3D3954" w:rsidRDefault="003D3954" w:rsidP="003D395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D3954" w:rsidRDefault="003D3954" w:rsidP="003D395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Крушинский И.Б.</w:t>
      </w:r>
    </w:p>
    <w:p w:rsidR="003D3954" w:rsidRDefault="003D3954" w:rsidP="003D395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D3954" w:rsidRDefault="003D3954" w:rsidP="003D395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</w:t>
      </w:r>
      <w:r w:rsidR="00743C0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____2020 года  </w:t>
      </w:r>
    </w:p>
    <w:p w:rsidR="003D3954" w:rsidRDefault="003D3954" w:rsidP="003D3954">
      <w:pPr>
        <w:rPr>
          <w:rFonts w:ascii="Arial" w:hAnsi="Arial" w:cs="Arial"/>
          <w:color w:val="000000"/>
          <w:shd w:val="clear" w:color="auto" w:fill="FFFFFF"/>
        </w:rPr>
      </w:pPr>
    </w:p>
    <w:p w:rsidR="003D3954" w:rsidRDefault="003D3954" w:rsidP="003D3954">
      <w:pPr>
        <w:rPr>
          <w:rFonts w:ascii="Arial" w:hAnsi="Arial" w:cs="Arial"/>
          <w:color w:val="000000"/>
          <w:shd w:val="clear" w:color="auto" w:fill="FFFFFF"/>
        </w:rPr>
      </w:pPr>
    </w:p>
    <w:p w:rsidR="003D3954" w:rsidRDefault="003D3954" w:rsidP="003D395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</w:p>
    <w:p w:rsidR="003D3954" w:rsidRDefault="003D3954" w:rsidP="003D39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3D3954" w:rsidRDefault="003D3954" w:rsidP="003D39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3D3954" w:rsidRDefault="003D3954" w:rsidP="00743C0B">
      <w:pPr>
        <w:pStyle w:val="a3"/>
        <w:shd w:val="clear" w:color="auto" w:fill="FFFFFF"/>
        <w:tabs>
          <w:tab w:val="left" w:pos="2338"/>
        </w:tabs>
        <w:spacing w:before="0" w:beforeAutospacing="0" w:after="0" w:afterAutospacing="0"/>
        <w:ind w:firstLine="330"/>
        <w:jc w:val="center"/>
        <w:rPr>
          <w:rStyle w:val="a4"/>
          <w:color w:val="000000"/>
          <w:sz w:val="28"/>
          <w:szCs w:val="28"/>
        </w:rPr>
      </w:pPr>
      <w:bookmarkStart w:id="0" w:name="_GoBack"/>
      <w:r w:rsidRPr="003D3954">
        <w:rPr>
          <w:rStyle w:val="a4"/>
          <w:color w:val="000000"/>
          <w:sz w:val="28"/>
          <w:szCs w:val="28"/>
        </w:rPr>
        <w:t>Сверхурочная работа сверх максимально возможной продолжительности должна быть оплачена работодателем</w:t>
      </w:r>
    </w:p>
    <w:p w:rsidR="00743C0B" w:rsidRPr="003D3954" w:rsidRDefault="00743C0B" w:rsidP="00743C0B">
      <w:pPr>
        <w:pStyle w:val="a3"/>
        <w:shd w:val="clear" w:color="auto" w:fill="FFFFFF"/>
        <w:tabs>
          <w:tab w:val="left" w:pos="2338"/>
        </w:tabs>
        <w:spacing w:before="0" w:beforeAutospacing="0" w:after="0" w:afterAutospacing="0"/>
        <w:ind w:firstLine="330"/>
        <w:jc w:val="both"/>
        <w:rPr>
          <w:color w:val="000000"/>
          <w:sz w:val="28"/>
          <w:szCs w:val="28"/>
        </w:rPr>
      </w:pPr>
    </w:p>
    <w:bookmarkEnd w:id="0"/>
    <w:p w:rsidR="003D3954" w:rsidRPr="003D3954" w:rsidRDefault="003D3954" w:rsidP="00743C0B">
      <w:pPr>
        <w:pStyle w:val="a3"/>
        <w:shd w:val="clear" w:color="auto" w:fill="FFFFFF"/>
        <w:tabs>
          <w:tab w:val="left" w:pos="2338"/>
        </w:tabs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D3954">
        <w:rPr>
          <w:color w:val="000000"/>
          <w:sz w:val="28"/>
          <w:szCs w:val="28"/>
        </w:rPr>
        <w:t xml:space="preserve">Согласно </w:t>
      </w:r>
      <w:proofErr w:type="gramStart"/>
      <w:r w:rsidRPr="003D3954">
        <w:rPr>
          <w:color w:val="000000"/>
          <w:sz w:val="28"/>
          <w:szCs w:val="28"/>
        </w:rPr>
        <w:t>ч</w:t>
      </w:r>
      <w:proofErr w:type="gramEnd"/>
      <w:r w:rsidRPr="003D3954">
        <w:rPr>
          <w:color w:val="000000"/>
          <w:sz w:val="28"/>
          <w:szCs w:val="28"/>
        </w:rPr>
        <w:t>. 6 ст. 99 Трудового кодекса продолжительность сверхурочной работы не должна превышать для каждого работника 4 часов в течение двух дней подряд и 120 часов в год. Требования к оплате сверхурочной работы установлены ст. 152 ТК РФ, согласно которой сверхурочная работа оплачивается за первые два часа работы не менее чем в полуторном размере, за последующие часы - не менее чем в двойном размере. Конкретные размеры оплаты за сверхурочную работу могут определяться коллективным договором, локальным нормативным актом или трудовым договором.</w:t>
      </w:r>
    </w:p>
    <w:p w:rsidR="003D3954" w:rsidRPr="003D3954" w:rsidRDefault="003D3954" w:rsidP="00743C0B">
      <w:pPr>
        <w:pStyle w:val="a3"/>
        <w:shd w:val="clear" w:color="auto" w:fill="FFFFFF"/>
        <w:tabs>
          <w:tab w:val="left" w:pos="2338"/>
        </w:tabs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D3954">
        <w:rPr>
          <w:color w:val="000000"/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3D3954" w:rsidRPr="003D3954" w:rsidRDefault="003D3954" w:rsidP="00743C0B">
      <w:pPr>
        <w:pStyle w:val="a3"/>
        <w:shd w:val="clear" w:color="auto" w:fill="FFFFFF"/>
        <w:tabs>
          <w:tab w:val="left" w:pos="2338"/>
        </w:tabs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D3954">
        <w:rPr>
          <w:color w:val="000000"/>
          <w:sz w:val="28"/>
          <w:szCs w:val="28"/>
        </w:rPr>
        <w:t>Судебная практика исходит из того, что если даже если работодатель в нарушение требований закона привлекал работника к сверхурочной работе большей продолжительности, чем допускают нормы ст. 99 ТК РФ, это не отменяет необходимости оплатить эту работу в соответствии с положениями ст. 152 ТК РФ</w:t>
      </w:r>
    </w:p>
    <w:p w:rsidR="003D3954" w:rsidRPr="003D3954" w:rsidRDefault="003D3954" w:rsidP="00743C0B">
      <w:pPr>
        <w:pStyle w:val="a3"/>
        <w:shd w:val="clear" w:color="auto" w:fill="FFFFFF"/>
        <w:tabs>
          <w:tab w:val="left" w:pos="2338"/>
        </w:tabs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D3954">
        <w:rPr>
          <w:color w:val="000000"/>
          <w:sz w:val="28"/>
          <w:szCs w:val="28"/>
        </w:rPr>
        <w:t>Аналогичная позиция закреплена и в Определении Конституционного Суда РФ от 19 декабря 2019 г. № 3363-О. Суд отметил, что установленное ст. 99 ТК РФ ограничение продолжительности сверхурочной работы носит гарантийный характер, направлено на обеспечение реализации конституционного права на отдых и во взаимосвязи со ст. 152 ТК РФ не предполагает ограничения оплаты сверхурочной работы в случае несоблюдения работодателем установленного ограничения продолжительности сверхурочной работы.</w:t>
      </w:r>
    </w:p>
    <w:p w:rsidR="003D3954" w:rsidRDefault="003D3954" w:rsidP="003D39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D3954" w:rsidRDefault="003D3954" w:rsidP="003D3954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Старший помощник прокурора                          </w:t>
      </w:r>
      <w:r w:rsidR="0074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Львутина</w:t>
      </w:r>
      <w:proofErr w:type="spellEnd"/>
    </w:p>
    <w:p w:rsidR="00D84C1C" w:rsidRDefault="00D84C1C"/>
    <w:sectPr w:rsidR="00D84C1C" w:rsidSect="00E8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A6A"/>
    <w:rsid w:val="003D3954"/>
    <w:rsid w:val="00743C0B"/>
    <w:rsid w:val="00A61A6A"/>
    <w:rsid w:val="00D84C1C"/>
    <w:rsid w:val="00E83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39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3</cp:revision>
  <dcterms:created xsi:type="dcterms:W3CDTF">2020-02-04T13:39:00Z</dcterms:created>
  <dcterms:modified xsi:type="dcterms:W3CDTF">2020-07-08T07:18:00Z</dcterms:modified>
</cp:coreProperties>
</file>